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29" w:rsidRDefault="00DA6196">
      <w:r>
        <w:t>Внимание! Данный аналитический материал сгенерирован автоматически компьютерной программой.</w:t>
      </w:r>
    </w:p>
    <w:p w:rsidR="00897729" w:rsidRDefault="00DA6196">
      <w:pPr>
        <w:pStyle w:val="1"/>
        <w:jc w:val="center"/>
      </w:pPr>
      <w:r>
        <w:t xml:space="preserve">Результаты самодиагностики </w:t>
      </w:r>
      <w:r>
        <w:br/>
        <w:t xml:space="preserve"> «Детские сады – маршруты развития» в 2025 году </w:t>
      </w:r>
      <w:r>
        <w:br/>
        <w:t xml:space="preserve"> МДОУ дс №10 п.Полетаево</w:t>
      </w:r>
    </w:p>
    <w:p w:rsidR="00897729" w:rsidRDefault="00897729"/>
    <w:p w:rsidR="00897729" w:rsidRDefault="00DA6196">
      <w:r>
        <w:t xml:space="preserve">По результатам самодиагностики в октябре 2025 года вы </w:t>
      </w:r>
      <w:r>
        <w:t>набрали 94 баллов, что составляет 87,85% и соответствует уровню – Средний. Это выше среднеобластного значения,  которое составляет 76,74%.</w:t>
      </w:r>
    </w:p>
    <w:p w:rsidR="00897729" w:rsidRDefault="00897729"/>
    <w:p w:rsidR="00897729" w:rsidRDefault="00DA6196">
      <w:pPr>
        <w:pStyle w:val="21"/>
      </w:pPr>
      <w:r>
        <w:t>Направление 1. Познание</w:t>
      </w:r>
    </w:p>
    <w:p w:rsidR="00897729" w:rsidRDefault="00DA6196">
      <w:r>
        <w:t>Ваш балл по данной шкале составил 25 (86,21%), уровень по шкале – Средний. Это соответствует</w:t>
      </w:r>
      <w:r>
        <w:t xml:space="preserve"> среднеобластному значению,  которое составляет 85,34%. Затруднения по данной шкале у вас отсутствуют.</w:t>
      </w:r>
    </w:p>
    <w:p w:rsidR="00897729" w:rsidRDefault="00897729"/>
    <w:p w:rsidR="00897729" w:rsidRDefault="00DA6196">
      <w:pPr>
        <w:pStyle w:val="21"/>
      </w:pPr>
      <w:r>
        <w:t>Направление 2. Здоровье, безопасность и психологическое благополучие</w:t>
      </w:r>
    </w:p>
    <w:p w:rsidR="00897729" w:rsidRDefault="00DA6196">
      <w:r>
        <w:t>Ваш балл по данной шкале составил 12 (100,0%), уровень по шкале – Высокий. Это выше</w:t>
      </w:r>
      <w:r>
        <w:t xml:space="preserve"> среднеобластного значения,  которое составляет 79,77%. Затруднения по данной шкале у вас отсутствуют.</w:t>
      </w:r>
    </w:p>
    <w:p w:rsidR="00897729" w:rsidRDefault="00897729"/>
    <w:p w:rsidR="00897729" w:rsidRDefault="00DA6196">
      <w:pPr>
        <w:pStyle w:val="21"/>
      </w:pPr>
      <w:r>
        <w:t>Направление 3. Творческий потенциал</w:t>
      </w:r>
    </w:p>
    <w:p w:rsidR="00897729" w:rsidRDefault="00DA6196">
      <w:r>
        <w:t>Ваш балл по данной шкале составил 7 (100,0%), уровень по шкале – Высокий. Это выше среднеобластного значения,  котор</w:t>
      </w:r>
      <w:r>
        <w:t>ое составляет 81,21%. Затруднения по данной шкале у вас отсутствуют.</w:t>
      </w:r>
    </w:p>
    <w:p w:rsidR="00897729" w:rsidRDefault="00897729"/>
    <w:p w:rsidR="00897729" w:rsidRDefault="00DA6196">
      <w:pPr>
        <w:pStyle w:val="21"/>
      </w:pPr>
      <w:r>
        <w:t xml:space="preserve">Направление 4. Ценности и воспитание </w:t>
      </w:r>
    </w:p>
    <w:p w:rsidR="00897729" w:rsidRDefault="00DA6196">
      <w:r>
        <w:t>Ваш балл по данной шкале составил 7 (77,78%), уровень по шкале – Средний. Это ниже среднеобластного значения,  которое составляет 81,8%. Затруднения</w:t>
      </w:r>
      <w:r>
        <w:t xml:space="preserve"> по данной шкале у вас отсутствуют.</w:t>
      </w:r>
    </w:p>
    <w:p w:rsidR="00897729" w:rsidRDefault="00897729"/>
    <w:p w:rsidR="00897729" w:rsidRDefault="00DA6196">
      <w:pPr>
        <w:pStyle w:val="21"/>
      </w:pPr>
      <w:r>
        <w:lastRenderedPageBreak/>
        <w:t>Направление 5. Мир труда и профессий</w:t>
      </w:r>
    </w:p>
    <w:p w:rsidR="00897729" w:rsidRDefault="00DA6196">
      <w:r>
        <w:t>Ваш балл по данной шкале составил 6 (100,0%), уровень по шкале – Высокий. Это выше среднеобластного значения,  которое составляет 87,54%. Затруднения по данной шкале у вас отсутствую</w:t>
      </w:r>
      <w:r>
        <w:t>т.</w:t>
      </w:r>
    </w:p>
    <w:p w:rsidR="00897729" w:rsidRDefault="00897729"/>
    <w:p w:rsidR="00897729" w:rsidRDefault="00DA6196">
      <w:pPr>
        <w:pStyle w:val="21"/>
      </w:pPr>
      <w:r>
        <w:t>Направление 6. Управление и организационная культура</w:t>
      </w:r>
    </w:p>
    <w:p w:rsidR="00897729" w:rsidRDefault="00DA6196">
      <w:r>
        <w:t>Ваш балл по данной шкале составил 25 (78,12%), уровень по шкале – Средний. Это выше среднеобластного значения,  которое составляет 62,54%. Наибольшие затруднения у вас вызвали следующие показатели:</w:t>
      </w:r>
    </w:p>
    <w:p w:rsidR="00897729" w:rsidRDefault="00DA6196">
      <w:r>
        <w:t>В</w:t>
      </w:r>
      <w:r>
        <w:t>опрос 6.3.2. Наличие статуса стажировочной площадки (муниципального, регионального, федерального уровня)</w:t>
      </w:r>
    </w:p>
    <w:p w:rsidR="00897729" w:rsidRDefault="00DA6196">
      <w:r>
        <w:t>Вопрос 6.5.5. Осуществляется адресная методическая поддержка педагогов с низким уровнем по результатам оценки профессиональных компетенций закрепленным</w:t>
      </w:r>
      <w:r>
        <w:t xml:space="preserve"> региональным методистом</w:t>
      </w:r>
    </w:p>
    <w:p w:rsidR="00897729" w:rsidRDefault="00DA6196">
      <w:r>
        <w:t>Вопрос 6.6.5. Участие руководящих работников ДОО в оценке профессиональных компетенций на уровне региона</w:t>
      </w:r>
    </w:p>
    <w:p w:rsidR="00897729" w:rsidRDefault="00897729"/>
    <w:p w:rsidR="00897729" w:rsidRDefault="00DA6196">
      <w:pPr>
        <w:pStyle w:val="21"/>
      </w:pPr>
      <w:r>
        <w:t>Направление 7. Партнерство, сетевое взаимодействие и «Семья»</w:t>
      </w:r>
    </w:p>
    <w:p w:rsidR="00897729" w:rsidRDefault="00DA6196">
      <w:r>
        <w:t>Ваш балл по данной шкале составил 8 (100,0%), уровень по шкале –</w:t>
      </w:r>
      <w:r>
        <w:t xml:space="preserve"> Высокий. Это выше среднеобластного значения,  которое составляет 87,84%. Затруднения по данной шкале у вас отсутствуют.</w:t>
      </w:r>
    </w:p>
    <w:p w:rsidR="00897729" w:rsidRDefault="00897729"/>
    <w:p w:rsidR="00897729" w:rsidRDefault="00DA6196">
      <w:pPr>
        <w:pStyle w:val="21"/>
      </w:pPr>
      <w:r>
        <w:t>Направление 8. Образовательная среда</w:t>
      </w:r>
    </w:p>
    <w:p w:rsidR="00897729" w:rsidRDefault="00DA6196">
      <w:r>
        <w:t>Ваш балл по данной шкале составил 4 (100,0%), уровень по шкале – Высокий.</w:t>
      </w:r>
      <w:r>
        <w:t xml:space="preserve"> Это выше среднеобластного значения,  которое составляет 92,37%. Затруднения по данной шкале у вас отсутствуют.</w:t>
      </w:r>
    </w:p>
    <w:p w:rsidR="00897729" w:rsidRDefault="00DA6196">
      <w:r>
        <w:t xml:space="preserve"> В таблице 1 представлена тепловая карта с результатами по каждому вопросу самодиагностики.</w:t>
      </w:r>
    </w:p>
    <w:p w:rsidR="00897729" w:rsidRDefault="00DA6196">
      <w:pPr>
        <w:jc w:val="right"/>
      </w:pPr>
      <w:r>
        <w:t>Таблица 1</w:t>
      </w:r>
    </w:p>
    <w:p w:rsidR="00897729" w:rsidRDefault="00DA6196">
      <w:pPr>
        <w:jc w:val="center"/>
      </w:pPr>
      <w:r>
        <w:t>Процент реализации каждого вопроса по резу</w:t>
      </w:r>
      <w:r>
        <w:t>льтатам самодиагностики ДС МР в октябре 2025</w:t>
      </w:r>
    </w:p>
    <w:tbl>
      <w:tblPr>
        <w:tblStyle w:val="aff0"/>
        <w:tblW w:w="0" w:type="auto"/>
        <w:tblLook w:val="04A0"/>
      </w:tblPr>
      <w:tblGrid>
        <w:gridCol w:w="2880"/>
        <w:gridCol w:w="2880"/>
        <w:gridCol w:w="2880"/>
      </w:tblGrid>
      <w:tr w:rsidR="00897729">
        <w:tc>
          <w:tcPr>
            <w:tcW w:w="2880" w:type="dxa"/>
          </w:tcPr>
          <w:p w:rsidR="00897729" w:rsidRDefault="00DA6196">
            <w:r>
              <w:t>№</w:t>
            </w:r>
          </w:p>
        </w:tc>
        <w:tc>
          <w:tcPr>
            <w:tcW w:w="2880" w:type="dxa"/>
          </w:tcPr>
          <w:p w:rsidR="00897729" w:rsidRDefault="00DA6196">
            <w:r>
              <w:t>Вопрос</w:t>
            </w:r>
          </w:p>
        </w:tc>
        <w:tc>
          <w:tcPr>
            <w:tcW w:w="2880" w:type="dxa"/>
          </w:tcPr>
          <w:p w:rsidR="00897729" w:rsidRDefault="00DA6196">
            <w:r>
              <w:t>% реализации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lastRenderedPageBreak/>
              <w:t>1.1.1</w:t>
            </w:r>
          </w:p>
        </w:tc>
        <w:tc>
          <w:tcPr>
            <w:tcW w:w="2880" w:type="dxa"/>
          </w:tcPr>
          <w:p w:rsidR="00897729" w:rsidRDefault="00DA6196">
            <w:r>
              <w:t>Соответствие ОП ДОО структуре, обозначенной в ФГОС ДО, ФОП ДО (критический показатель)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1.1.2</w:t>
            </w:r>
          </w:p>
        </w:tc>
        <w:tc>
          <w:tcPr>
            <w:tcW w:w="2880" w:type="dxa"/>
          </w:tcPr>
          <w:p w:rsidR="00897729" w:rsidRDefault="00DA6196">
            <w:r>
              <w:t xml:space="preserve">Отражение в целях и задачах ОП ДОО специфики и вариативности дошкольного </w:t>
            </w:r>
            <w:r>
              <w:t>образования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1.1.3</w:t>
            </w:r>
          </w:p>
        </w:tc>
        <w:tc>
          <w:tcPr>
            <w:tcW w:w="2880" w:type="dxa"/>
          </w:tcPr>
          <w:p w:rsidR="00897729" w:rsidRDefault="00DA6196">
            <w:r>
              <w:t>Соответствие форм, способов, методов и средств работы с детьми особенностям образовательной деятельности разных видов и культурных практик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1.1.4</w:t>
            </w:r>
          </w:p>
        </w:tc>
        <w:tc>
          <w:tcPr>
            <w:tcW w:w="2880" w:type="dxa"/>
          </w:tcPr>
          <w:p w:rsidR="00897729" w:rsidRDefault="00DA6196">
            <w:r>
              <w:t>В ОП ДО включены задачи и содержание парциальных программ по направлениям образ</w:t>
            </w:r>
            <w:r>
              <w:t>овательных областей (социально-коммуникативного, познавательного, речевого, художественно-эстетического, физического развития)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1.1.5</w:t>
            </w:r>
          </w:p>
        </w:tc>
        <w:tc>
          <w:tcPr>
            <w:tcW w:w="2880" w:type="dxa"/>
          </w:tcPr>
          <w:p w:rsidR="00897729" w:rsidRDefault="00DA6196">
            <w:r>
              <w:t>Соответствие АОП ДОО структуре, обозначенной в ФГОС ДО, ФАОП ДО</w:t>
            </w:r>
          </w:p>
        </w:tc>
        <w:tc>
          <w:tcPr>
            <w:tcW w:w="2880" w:type="dxa"/>
            <w:shd w:val="clear" w:color="auto" w:fill="FEE382"/>
          </w:tcPr>
          <w:p w:rsidR="00897729" w:rsidRDefault="00DA6196">
            <w:r>
              <w:t>50,0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1.1.6</w:t>
            </w:r>
          </w:p>
        </w:tc>
        <w:tc>
          <w:tcPr>
            <w:tcW w:w="2880" w:type="dxa"/>
          </w:tcPr>
          <w:p w:rsidR="00897729" w:rsidRDefault="00DA6196">
            <w:r>
              <w:t xml:space="preserve">Отражение в целях и задачах АОП ДОО </w:t>
            </w:r>
            <w:r>
              <w:t>специфики и вариативности дошкольного образования детей, с ОВЗ и инвалидностью</w:t>
            </w:r>
          </w:p>
        </w:tc>
        <w:tc>
          <w:tcPr>
            <w:tcW w:w="2880" w:type="dxa"/>
            <w:shd w:val="clear" w:color="auto" w:fill="FEE382"/>
          </w:tcPr>
          <w:p w:rsidR="00897729" w:rsidRDefault="00DA6196">
            <w:r>
              <w:t>50,0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1.1.7</w:t>
            </w:r>
          </w:p>
        </w:tc>
        <w:tc>
          <w:tcPr>
            <w:tcW w:w="2880" w:type="dxa"/>
          </w:tcPr>
          <w:p w:rsidR="00897729" w:rsidRDefault="00DA6196">
            <w:r>
              <w:t>Содержательный компонент КРР соответствует нозологическим группам и ФАОП ДО для обучающихся с ОВЗ</w:t>
            </w:r>
          </w:p>
        </w:tc>
        <w:tc>
          <w:tcPr>
            <w:tcW w:w="2880" w:type="dxa"/>
            <w:shd w:val="clear" w:color="auto" w:fill="FEE382"/>
          </w:tcPr>
          <w:p w:rsidR="00897729" w:rsidRDefault="00DA6196">
            <w:r>
              <w:t>50,0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1.1.8</w:t>
            </w:r>
          </w:p>
        </w:tc>
        <w:tc>
          <w:tcPr>
            <w:tcW w:w="2880" w:type="dxa"/>
          </w:tcPr>
          <w:p w:rsidR="00897729" w:rsidRDefault="00DA6196">
            <w:r>
              <w:t xml:space="preserve">Разработана программа/раздел ОП ДО в соответствии с </w:t>
            </w:r>
            <w:r>
              <w:t>ФГОС ДО и ФАОП ДО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1.1.9</w:t>
            </w:r>
          </w:p>
        </w:tc>
        <w:tc>
          <w:tcPr>
            <w:tcW w:w="2880" w:type="dxa"/>
          </w:tcPr>
          <w:p w:rsidR="00897729" w:rsidRDefault="00DA6196">
            <w:r>
              <w:t xml:space="preserve">Реализация программы КРР, в соответствии с ФГОС ДО и ФАОП ДО обеспечивает образовательные потребности обучающихся </w:t>
            </w:r>
            <w:r>
              <w:lastRenderedPageBreak/>
              <w:t>нозологических групп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lastRenderedPageBreak/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lastRenderedPageBreak/>
              <w:t>1.1.10</w:t>
            </w:r>
          </w:p>
        </w:tc>
        <w:tc>
          <w:tcPr>
            <w:tcW w:w="2880" w:type="dxa"/>
          </w:tcPr>
          <w:p w:rsidR="00897729" w:rsidRDefault="00DA6196">
            <w:r>
              <w:t xml:space="preserve">Отражение в целях и задачах ОП ДОО специфики и вариативности задач для </w:t>
            </w:r>
            <w:r>
              <w:t>обучающихся с туберкулезной интоксикацией, часто болеющих и других категорий детей, нуждающихся в длительном лечении)</w:t>
            </w:r>
          </w:p>
        </w:tc>
        <w:tc>
          <w:tcPr>
            <w:tcW w:w="2880" w:type="dxa"/>
          </w:tcPr>
          <w:p w:rsidR="00897729" w:rsidRDefault="00DA6196">
            <w:r>
              <w:t>нет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1.1.11</w:t>
            </w:r>
          </w:p>
        </w:tc>
        <w:tc>
          <w:tcPr>
            <w:tcW w:w="2880" w:type="dxa"/>
          </w:tcPr>
          <w:p w:rsidR="00897729" w:rsidRDefault="00DA6196">
            <w:r>
              <w:t>Отражение в целях и задачах ОП ДО специфики и вариативности в группах детей раннего возраста</w:t>
            </w:r>
          </w:p>
        </w:tc>
        <w:tc>
          <w:tcPr>
            <w:tcW w:w="2880" w:type="dxa"/>
          </w:tcPr>
          <w:p w:rsidR="00897729" w:rsidRDefault="00DA6196">
            <w:r>
              <w:t>нет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1.2.1</w:t>
            </w:r>
          </w:p>
        </w:tc>
        <w:tc>
          <w:tcPr>
            <w:tcW w:w="2880" w:type="dxa"/>
          </w:tcPr>
          <w:p w:rsidR="00897729" w:rsidRDefault="00DA6196">
            <w:r>
              <w:t>Соответствие реализаци</w:t>
            </w:r>
            <w:r>
              <w:t>и психолого-педагогических условий ОП ДО ФГОС ДО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1.2.2</w:t>
            </w:r>
          </w:p>
        </w:tc>
        <w:tc>
          <w:tcPr>
            <w:tcW w:w="2880" w:type="dxa"/>
          </w:tcPr>
          <w:p w:rsidR="00897729" w:rsidRDefault="00DA6196">
            <w:r>
              <w:t xml:space="preserve">РППС включает необходимое содержание для реализации каждого из направлений развития (познавательное, социально-коммуникативное, художественно-эстетическое, речевое и физическое развитие) и </w:t>
            </w:r>
            <w:r>
              <w:t>образования детей согласно ФГОС ДО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1.2.3</w:t>
            </w:r>
          </w:p>
        </w:tc>
        <w:tc>
          <w:tcPr>
            <w:tcW w:w="2880" w:type="dxa"/>
          </w:tcPr>
          <w:p w:rsidR="00897729" w:rsidRDefault="00DA6196">
            <w:r>
              <w:t>Кадровое обеспечение оказания психолого-педагогической и технической помощи обучающимся с ОВЗ, с инвалидностью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1.2.4</w:t>
            </w:r>
          </w:p>
        </w:tc>
        <w:tc>
          <w:tcPr>
            <w:tcW w:w="2880" w:type="dxa"/>
          </w:tcPr>
          <w:p w:rsidR="00897729" w:rsidRDefault="00DA6196">
            <w:r>
              <w:t>Разработанность локальных нормативных актов в части организации образования обучающи</w:t>
            </w:r>
            <w:r>
              <w:t>хся с ОВЗ, с инвалидностью, в том числе посредством организации инклюзивного образования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1.2.5</w:t>
            </w:r>
          </w:p>
        </w:tc>
        <w:tc>
          <w:tcPr>
            <w:tcW w:w="2880" w:type="dxa"/>
          </w:tcPr>
          <w:p w:rsidR="00897729" w:rsidRDefault="00DA6196">
            <w:r>
              <w:t xml:space="preserve">Наличие специальных технических средств обучения, мест для обучающихся с ОВЗ, с инвалидностью индивидуального и </w:t>
            </w:r>
            <w:r>
              <w:lastRenderedPageBreak/>
              <w:t xml:space="preserve">коллективного пользования (в соответствии </w:t>
            </w:r>
            <w:r>
              <w:t>с ФАОП ДО для обучающихся с ОВЗ)</w:t>
            </w:r>
          </w:p>
        </w:tc>
        <w:tc>
          <w:tcPr>
            <w:tcW w:w="2880" w:type="dxa"/>
            <w:shd w:val="clear" w:color="auto" w:fill="FEE382"/>
          </w:tcPr>
          <w:p w:rsidR="00897729" w:rsidRDefault="00DA6196">
            <w:r>
              <w:lastRenderedPageBreak/>
              <w:t>66,67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lastRenderedPageBreak/>
              <w:t>1.2.6</w:t>
            </w:r>
          </w:p>
        </w:tc>
        <w:tc>
          <w:tcPr>
            <w:tcW w:w="2880" w:type="dxa"/>
          </w:tcPr>
          <w:p w:rsidR="00897729" w:rsidRDefault="00DA6196">
            <w:r>
              <w:t>Применение электронных образовательных ресурсов и дистанционных образовательных технологий в образовании обучающихся с ОВЗ, с инвалидностью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1.2.7</w:t>
            </w:r>
          </w:p>
        </w:tc>
        <w:tc>
          <w:tcPr>
            <w:tcW w:w="2880" w:type="dxa"/>
          </w:tcPr>
          <w:p w:rsidR="00897729" w:rsidRDefault="00DA6196">
            <w:r>
              <w:t xml:space="preserve">Созданы условия для профессионального развития и </w:t>
            </w:r>
            <w:r>
              <w:t>совершенствования профессиональных компетенций педагогических работников (за три последних года)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1.2.8</w:t>
            </w:r>
          </w:p>
        </w:tc>
        <w:tc>
          <w:tcPr>
            <w:tcW w:w="2880" w:type="dxa"/>
          </w:tcPr>
          <w:p w:rsidR="00897729" w:rsidRDefault="00DA6196">
            <w:r>
              <w:t>Трансляция опыта образовательной организации в вопросах образования обучающихся с ОВЗ, с инвалидностью, в том числе посредством организации инклюз</w:t>
            </w:r>
            <w:r>
              <w:t>ивного образования, на семинарах, тренингах, конференциях и иных мероприятиях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1.2.9</w:t>
            </w:r>
          </w:p>
        </w:tc>
        <w:tc>
          <w:tcPr>
            <w:tcW w:w="2880" w:type="dxa"/>
          </w:tcPr>
          <w:p w:rsidR="00897729" w:rsidRDefault="00DA6196">
            <w:r>
              <w:t xml:space="preserve">Кадровое обеспечение оказания психолого-педагогической и технической помощи обучающимся с туберкулезной интоксикацией, часто болеющие дети и другие категорий детей, </w:t>
            </w:r>
            <w:r>
              <w:t>нуждающихся в длительном лечении)</w:t>
            </w:r>
          </w:p>
        </w:tc>
        <w:tc>
          <w:tcPr>
            <w:tcW w:w="2880" w:type="dxa"/>
          </w:tcPr>
          <w:p w:rsidR="00897729" w:rsidRDefault="00DA6196">
            <w:r>
              <w:t>нет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1.2.10</w:t>
            </w:r>
          </w:p>
        </w:tc>
        <w:tc>
          <w:tcPr>
            <w:tcW w:w="2880" w:type="dxa"/>
          </w:tcPr>
          <w:p w:rsidR="00897729" w:rsidRDefault="00DA6196">
            <w:r>
              <w:t>Разработанность локальных нормативных актов в части организации образования обучающихся нуждающимися в длительном лечении</w:t>
            </w:r>
          </w:p>
        </w:tc>
        <w:tc>
          <w:tcPr>
            <w:tcW w:w="2880" w:type="dxa"/>
          </w:tcPr>
          <w:p w:rsidR="00897729" w:rsidRDefault="00DA6196">
            <w:r>
              <w:t>нет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1.2.11</w:t>
            </w:r>
          </w:p>
        </w:tc>
        <w:tc>
          <w:tcPr>
            <w:tcW w:w="2880" w:type="dxa"/>
          </w:tcPr>
          <w:p w:rsidR="00897729" w:rsidRDefault="00DA6196">
            <w:r>
              <w:t>Имеется комплекс санитарно-гигиенических, лечебно-оздоровительных и профилак</w:t>
            </w:r>
            <w:r>
              <w:t xml:space="preserve">тических </w:t>
            </w:r>
            <w:r>
              <w:lastRenderedPageBreak/>
              <w:t>мероприятий и процедур</w:t>
            </w:r>
          </w:p>
        </w:tc>
        <w:tc>
          <w:tcPr>
            <w:tcW w:w="2880" w:type="dxa"/>
          </w:tcPr>
          <w:p w:rsidR="00897729" w:rsidRDefault="00DA6196">
            <w:r>
              <w:lastRenderedPageBreak/>
              <w:t>нет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lastRenderedPageBreak/>
              <w:t>1.2.12</w:t>
            </w:r>
          </w:p>
        </w:tc>
        <w:tc>
          <w:tcPr>
            <w:tcW w:w="2880" w:type="dxa"/>
          </w:tcPr>
          <w:p w:rsidR="00897729" w:rsidRDefault="00DA6196">
            <w:r>
              <w:t>Регулярный анализ заболеваемости и динамики состояния здоровья детей</w:t>
            </w:r>
          </w:p>
        </w:tc>
        <w:tc>
          <w:tcPr>
            <w:tcW w:w="2880" w:type="dxa"/>
          </w:tcPr>
          <w:p w:rsidR="00897729" w:rsidRDefault="00DA6196">
            <w:r>
              <w:t>нет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1.2.13</w:t>
            </w:r>
          </w:p>
        </w:tc>
        <w:tc>
          <w:tcPr>
            <w:tcW w:w="2880" w:type="dxa"/>
          </w:tcPr>
          <w:p w:rsidR="00897729" w:rsidRDefault="00DA6196">
            <w:r>
              <w:t>Наличие необходимого оборудования и материалов для проведения оздоровительных мероприятий с учетом состояния здоровья детей</w:t>
            </w:r>
          </w:p>
        </w:tc>
        <w:tc>
          <w:tcPr>
            <w:tcW w:w="2880" w:type="dxa"/>
          </w:tcPr>
          <w:p w:rsidR="00897729" w:rsidRDefault="00DA6196">
            <w:r>
              <w:t>нет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1.2.14</w:t>
            </w:r>
          </w:p>
        </w:tc>
        <w:tc>
          <w:tcPr>
            <w:tcW w:w="2880" w:type="dxa"/>
          </w:tcPr>
          <w:p w:rsidR="00897729" w:rsidRDefault="00DA6196">
            <w:r>
              <w:t>Организовано профессиональное развитие педагогов при работе с детьми, нуждающимися в длительном лечении (за три последних года)</w:t>
            </w:r>
          </w:p>
        </w:tc>
        <w:tc>
          <w:tcPr>
            <w:tcW w:w="2880" w:type="dxa"/>
          </w:tcPr>
          <w:p w:rsidR="00897729" w:rsidRDefault="00DA6196">
            <w:r>
              <w:t>нет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1.2.15</w:t>
            </w:r>
          </w:p>
        </w:tc>
        <w:tc>
          <w:tcPr>
            <w:tcW w:w="2880" w:type="dxa"/>
          </w:tcPr>
          <w:p w:rsidR="00897729" w:rsidRDefault="00DA6196">
            <w:r>
              <w:t xml:space="preserve">Кадровое обеспечение оказания психолого-педагогической поддержки в группах детей раннего возраста </w:t>
            </w:r>
            <w:r>
              <w:t>(специалисты)</w:t>
            </w:r>
          </w:p>
        </w:tc>
        <w:tc>
          <w:tcPr>
            <w:tcW w:w="2880" w:type="dxa"/>
          </w:tcPr>
          <w:p w:rsidR="00897729" w:rsidRDefault="00DA6196">
            <w:r>
              <w:t>нет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1.2.16</w:t>
            </w:r>
          </w:p>
        </w:tc>
        <w:tc>
          <w:tcPr>
            <w:tcW w:w="2880" w:type="dxa"/>
          </w:tcPr>
          <w:p w:rsidR="00897729" w:rsidRDefault="00DA6196">
            <w:r>
              <w:t>Разработанность локальных нормативных актов в части организации образования в группах детей раннего возраста</w:t>
            </w:r>
          </w:p>
        </w:tc>
        <w:tc>
          <w:tcPr>
            <w:tcW w:w="2880" w:type="dxa"/>
          </w:tcPr>
          <w:p w:rsidR="00897729" w:rsidRDefault="00DA6196">
            <w:r>
              <w:t>нет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1.2.17</w:t>
            </w:r>
          </w:p>
        </w:tc>
        <w:tc>
          <w:tcPr>
            <w:tcW w:w="2880" w:type="dxa"/>
          </w:tcPr>
          <w:p w:rsidR="00897729" w:rsidRDefault="00DA6196">
            <w:r>
              <w:t>Созданы условия для профессионального развития и совершенствования профессиональных компетенций педагогически</w:t>
            </w:r>
            <w:r>
              <w:t>х работников в группах детей раннего возраста (за три последних года)</w:t>
            </w:r>
          </w:p>
        </w:tc>
        <w:tc>
          <w:tcPr>
            <w:tcW w:w="2880" w:type="dxa"/>
          </w:tcPr>
          <w:p w:rsidR="00897729" w:rsidRDefault="00DA6196">
            <w:r>
              <w:t>нет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2.1.1</w:t>
            </w:r>
          </w:p>
        </w:tc>
        <w:tc>
          <w:tcPr>
            <w:tcW w:w="2880" w:type="dxa"/>
          </w:tcPr>
          <w:p w:rsidR="00897729" w:rsidRDefault="00DA6196">
            <w:r>
              <w:t>Наличие плана оздоровительных мероприятий часто болеющих и других категорий детей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2.1.2</w:t>
            </w:r>
          </w:p>
        </w:tc>
        <w:tc>
          <w:tcPr>
            <w:tcW w:w="2880" w:type="dxa"/>
          </w:tcPr>
          <w:p w:rsidR="00897729" w:rsidRDefault="00DA6196">
            <w:r>
              <w:t xml:space="preserve">Взаимодействие с медицинскими учреждениями и специалистами (договоры, </w:t>
            </w:r>
            <w:r>
              <w:t>соглашения)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2.1.3</w:t>
            </w:r>
          </w:p>
        </w:tc>
        <w:tc>
          <w:tcPr>
            <w:tcW w:w="2880" w:type="dxa"/>
          </w:tcPr>
          <w:p w:rsidR="00897729" w:rsidRDefault="00DA6196">
            <w:r>
              <w:t>Организация мероприятий по адаптации и социализации детей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2.1.4</w:t>
            </w:r>
          </w:p>
        </w:tc>
        <w:tc>
          <w:tcPr>
            <w:tcW w:w="2880" w:type="dxa"/>
          </w:tcPr>
          <w:p w:rsidR="00897729" w:rsidRDefault="00DA6196">
            <w:r>
              <w:t xml:space="preserve">Поддержка родителей </w:t>
            </w:r>
            <w:r>
              <w:lastRenderedPageBreak/>
              <w:t>(законных представителей) в воспитании детей, охране и укреплении их здоровья, вовлечение семей непосредственно в образовательную деятельнос</w:t>
            </w:r>
            <w:r>
              <w:t>ть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lastRenderedPageBreak/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lastRenderedPageBreak/>
              <w:t>2.1.5</w:t>
            </w:r>
          </w:p>
        </w:tc>
        <w:tc>
          <w:tcPr>
            <w:tcW w:w="2880" w:type="dxa"/>
          </w:tcPr>
          <w:p w:rsidR="00897729" w:rsidRDefault="00DA6196">
            <w:r>
              <w:t>Организация просветительской деятельности, направленной на формирование здорового образа жизни (критический показатель)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2.2.1</w:t>
            </w:r>
          </w:p>
        </w:tc>
        <w:tc>
          <w:tcPr>
            <w:tcW w:w="2880" w:type="dxa"/>
          </w:tcPr>
          <w:p w:rsidR="00897729" w:rsidRDefault="00DA6196">
            <w:r>
              <w:t>Наличие в образовательной организации спортивной инфраструктуры для занятий физической культурой и спортом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2.2.2</w:t>
            </w:r>
          </w:p>
        </w:tc>
        <w:tc>
          <w:tcPr>
            <w:tcW w:w="2880" w:type="dxa"/>
          </w:tcPr>
          <w:p w:rsidR="00897729" w:rsidRDefault="00DA6196">
            <w:r>
              <w:t>Наличие дополнительных образовательных услуг в области физической культуры и спорта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2.2.3</w:t>
            </w:r>
          </w:p>
        </w:tc>
        <w:tc>
          <w:tcPr>
            <w:tcW w:w="2880" w:type="dxa"/>
          </w:tcPr>
          <w:p w:rsidR="00897729" w:rsidRDefault="00DA6196">
            <w:r>
              <w:t xml:space="preserve">Участие воспитанников в массовых физкультурно-спортивных мероприятиях 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3.1.1</w:t>
            </w:r>
          </w:p>
        </w:tc>
        <w:tc>
          <w:tcPr>
            <w:tcW w:w="2880" w:type="dxa"/>
          </w:tcPr>
          <w:p w:rsidR="00897729" w:rsidRDefault="00DA6196">
            <w:r>
              <w:t xml:space="preserve">Наличие пространства для сотрудничества и творческой </w:t>
            </w:r>
            <w:r>
              <w:t>самореализации ребенка и взрослого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3.1.2</w:t>
            </w:r>
          </w:p>
        </w:tc>
        <w:tc>
          <w:tcPr>
            <w:tcW w:w="2880" w:type="dxa"/>
          </w:tcPr>
          <w:p w:rsidR="00897729" w:rsidRDefault="00DA6196">
            <w:r>
              <w:t>Наличие и реализация парциальных или дополнительных общеразвивающих программ по развитию творческих способностей детей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3.2.1</w:t>
            </w:r>
          </w:p>
        </w:tc>
        <w:tc>
          <w:tcPr>
            <w:tcW w:w="2880" w:type="dxa"/>
          </w:tcPr>
          <w:p w:rsidR="00897729" w:rsidRDefault="00DA6196">
            <w:r>
              <w:t>Наличие кружков, студий, секций на базе ДОО и/или в рамках сетевого взаимоде</w:t>
            </w:r>
            <w:r>
              <w:t>йствия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3.2.2</w:t>
            </w:r>
          </w:p>
        </w:tc>
        <w:tc>
          <w:tcPr>
            <w:tcW w:w="2880" w:type="dxa"/>
          </w:tcPr>
          <w:p w:rsidR="00897729" w:rsidRDefault="00DA6196">
            <w:r>
              <w:t>Участие воспитанников в конкурсах, фестивалях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3.2.3</w:t>
            </w:r>
          </w:p>
        </w:tc>
        <w:tc>
          <w:tcPr>
            <w:tcW w:w="2880" w:type="dxa"/>
          </w:tcPr>
          <w:p w:rsidR="00897729" w:rsidRDefault="00DA6196">
            <w:r>
              <w:t xml:space="preserve">Использование элементов цифровой образовательной среды, интерактивной площадки как пространство сотрудничества и творческой самореализации ребенка и взрослого </w:t>
            </w:r>
            <w:r>
              <w:lastRenderedPageBreak/>
              <w:t xml:space="preserve">(кванториумов, </w:t>
            </w:r>
            <w:r>
              <w:t>мультстудий, роботизированных и технических игрушек) и др.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lastRenderedPageBreak/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lastRenderedPageBreak/>
              <w:t>4.1.1</w:t>
            </w:r>
          </w:p>
        </w:tc>
        <w:tc>
          <w:tcPr>
            <w:tcW w:w="2880" w:type="dxa"/>
          </w:tcPr>
          <w:p w:rsidR="00897729" w:rsidRDefault="00DA6196">
            <w:r>
              <w:t>Отражение региональной специфики в образовательной деятельности ДОО (национальных, социокультурных и иных условий)</w:t>
            </w:r>
          </w:p>
        </w:tc>
        <w:tc>
          <w:tcPr>
            <w:tcW w:w="2880" w:type="dxa"/>
            <w:shd w:val="clear" w:color="auto" w:fill="FEE382"/>
          </w:tcPr>
          <w:p w:rsidR="00897729" w:rsidRDefault="00DA6196">
            <w:r>
              <w:t>50,0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4.1.2</w:t>
            </w:r>
          </w:p>
        </w:tc>
        <w:tc>
          <w:tcPr>
            <w:tcW w:w="2880" w:type="dxa"/>
          </w:tcPr>
          <w:p w:rsidR="00897729" w:rsidRDefault="00DA6196">
            <w:r>
              <w:t xml:space="preserve">Воспитательный потенциал предметно-пространственной </w:t>
            </w:r>
            <w:r>
              <w:t>среды, отражающий региональные, этнографические и иные социокультурные особенности, реализуется через совместную деятельность участников образовательного процесса при ее создании, поддержании и использовании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4.2.1</w:t>
            </w:r>
          </w:p>
        </w:tc>
        <w:tc>
          <w:tcPr>
            <w:tcW w:w="2880" w:type="dxa"/>
          </w:tcPr>
          <w:p w:rsidR="00897729" w:rsidRDefault="00DA6196">
            <w:r>
              <w:t xml:space="preserve">Реализация рабочей программы </w:t>
            </w:r>
            <w:r>
              <w:t>воспитания, в том числе для обучающихся с ОВЗ (критический показатель)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4.2.2</w:t>
            </w:r>
          </w:p>
        </w:tc>
        <w:tc>
          <w:tcPr>
            <w:tcW w:w="2880" w:type="dxa"/>
          </w:tcPr>
          <w:p w:rsidR="00897729" w:rsidRDefault="00DA6196">
            <w:r>
              <w:t>Реализация календарного плана воспитательной работы (критический показатель)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4.2.3</w:t>
            </w:r>
          </w:p>
        </w:tc>
        <w:tc>
          <w:tcPr>
            <w:tcW w:w="2880" w:type="dxa"/>
          </w:tcPr>
          <w:p w:rsidR="00897729" w:rsidRDefault="00DA6196">
            <w:r>
              <w:t>Взаимодействие образовательной организации и родителей в процессе реализации рабоч</w:t>
            </w:r>
            <w:r>
              <w:t>ей программы воспитания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4.2.4</w:t>
            </w:r>
          </w:p>
        </w:tc>
        <w:tc>
          <w:tcPr>
            <w:tcW w:w="2880" w:type="dxa"/>
          </w:tcPr>
          <w:p w:rsidR="00897729" w:rsidRDefault="00DA6196">
            <w:r>
              <w:t>Реализация парциальных программ краеведения и туризма</w:t>
            </w:r>
          </w:p>
        </w:tc>
        <w:tc>
          <w:tcPr>
            <w:tcW w:w="2880" w:type="dxa"/>
            <w:shd w:val="clear" w:color="auto" w:fill="FEE382"/>
          </w:tcPr>
          <w:p w:rsidR="00897729" w:rsidRDefault="00DA6196">
            <w:r>
              <w:t>50,0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4.2.5</w:t>
            </w:r>
          </w:p>
        </w:tc>
        <w:tc>
          <w:tcPr>
            <w:tcW w:w="2880" w:type="dxa"/>
          </w:tcPr>
          <w:p w:rsidR="00897729" w:rsidRDefault="00DA6196">
            <w:r>
              <w:t>Использование государственных символов при обучении и воспитании (критический показатель)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5.1.1</w:t>
            </w:r>
          </w:p>
        </w:tc>
        <w:tc>
          <w:tcPr>
            <w:tcW w:w="2880" w:type="dxa"/>
          </w:tcPr>
          <w:p w:rsidR="00897729" w:rsidRDefault="00DA6196">
            <w:r>
              <w:t>Учет региональной специфики реализации парциальной</w:t>
            </w:r>
            <w:r>
              <w:t xml:space="preserve"> программы по формированию </w:t>
            </w:r>
            <w:r>
              <w:lastRenderedPageBreak/>
              <w:t>первоначальных представлений о труде взрослых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lastRenderedPageBreak/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lastRenderedPageBreak/>
              <w:t>5.1.2</w:t>
            </w:r>
          </w:p>
        </w:tc>
        <w:tc>
          <w:tcPr>
            <w:tcW w:w="2880" w:type="dxa"/>
          </w:tcPr>
          <w:p w:rsidR="00897729" w:rsidRDefault="00DA6196">
            <w:r>
              <w:t>Использование творческих лабораторий (квантумов), направленных на развитие представлений о профессиях взрослых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5.1.3</w:t>
            </w:r>
          </w:p>
        </w:tc>
        <w:tc>
          <w:tcPr>
            <w:tcW w:w="2880" w:type="dxa"/>
          </w:tcPr>
          <w:p w:rsidR="00897729" w:rsidRDefault="00DA6196">
            <w:r>
              <w:t xml:space="preserve">Использование различных форм занятий, </w:t>
            </w:r>
            <w:r>
              <w:t>насыщенных играми и совместной творческой деятельностью, направленных на развитие представлений о профессиях взрослых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5.2.1</w:t>
            </w:r>
          </w:p>
        </w:tc>
        <w:tc>
          <w:tcPr>
            <w:tcW w:w="2880" w:type="dxa"/>
          </w:tcPr>
          <w:p w:rsidR="00897729" w:rsidRDefault="00DA6196">
            <w:r>
              <w:t>Организация экскурсий (в том числе виртуальных) для воспитанников ДОО на предприятия (учреждения), в музейные комплексы на пр</w:t>
            </w:r>
            <w:r>
              <w:t>оизводствах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5.2.2</w:t>
            </w:r>
          </w:p>
        </w:tc>
        <w:tc>
          <w:tcPr>
            <w:tcW w:w="2880" w:type="dxa"/>
          </w:tcPr>
          <w:p w:rsidR="00897729" w:rsidRDefault="00DA6196">
            <w:r>
              <w:t>Включение воспитанников ДОО в различные виды совместной с социальными партнерами деятельности на основе сетевого взаимодействия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5.2.3</w:t>
            </w:r>
          </w:p>
        </w:tc>
        <w:tc>
          <w:tcPr>
            <w:tcW w:w="2880" w:type="dxa"/>
          </w:tcPr>
          <w:p w:rsidR="00897729" w:rsidRDefault="00DA6196">
            <w:r>
              <w:t xml:space="preserve">Использование разнообразных форм работы с родителями воспитанников (педагогических бесед, </w:t>
            </w:r>
            <w:r>
              <w:t>практикумов, тематических консультаций, родительских рингов, ток шоу и др.), направленных на формирование первичных представлений о профессиях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6.1.1</w:t>
            </w:r>
          </w:p>
        </w:tc>
        <w:tc>
          <w:tcPr>
            <w:tcW w:w="2880" w:type="dxa"/>
          </w:tcPr>
          <w:p w:rsidR="00897729" w:rsidRDefault="00DA6196">
            <w:r>
              <w:t>Организация выявления и распространения успешных практик и внедрения инновационных методик и техноло</w:t>
            </w:r>
            <w:r>
              <w:t>гий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6.1.2</w:t>
            </w:r>
          </w:p>
        </w:tc>
        <w:tc>
          <w:tcPr>
            <w:tcW w:w="2880" w:type="dxa"/>
          </w:tcPr>
          <w:p w:rsidR="00897729" w:rsidRDefault="00DA6196">
            <w:r>
              <w:t>Разработанность локальных нормативных актов в части организации инновационной деятельности и устойчивого развития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lastRenderedPageBreak/>
              <w:t>6.2.1</w:t>
            </w:r>
          </w:p>
        </w:tc>
        <w:tc>
          <w:tcPr>
            <w:tcW w:w="2880" w:type="dxa"/>
          </w:tcPr>
          <w:p w:rsidR="00897729" w:rsidRDefault="00DA6196">
            <w:r>
              <w:t>Наличие локального нормативного акта, регламентирующего внутреннюю систему оценки качества образования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6.2.2</w:t>
            </w:r>
          </w:p>
        </w:tc>
        <w:tc>
          <w:tcPr>
            <w:tcW w:w="2880" w:type="dxa"/>
          </w:tcPr>
          <w:p w:rsidR="00897729" w:rsidRDefault="00DA6196">
            <w:r>
              <w:t>Достижение итоговой оценки «отлично» по результатам НОКО на сайте bus.gov за трехлетний период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6.3.1</w:t>
            </w:r>
          </w:p>
        </w:tc>
        <w:tc>
          <w:tcPr>
            <w:tcW w:w="2880" w:type="dxa"/>
          </w:tcPr>
          <w:p w:rsidR="00897729" w:rsidRDefault="00DA6196">
            <w:r>
              <w:t>Участие в региональных методических объединениях и мероприятиях</w:t>
            </w:r>
          </w:p>
        </w:tc>
        <w:tc>
          <w:tcPr>
            <w:tcW w:w="2880" w:type="dxa"/>
            <w:shd w:val="clear" w:color="auto" w:fill="FEE382"/>
          </w:tcPr>
          <w:p w:rsidR="00897729" w:rsidRDefault="00DA6196">
            <w:r>
              <w:t>50,0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6.3.2</w:t>
            </w:r>
          </w:p>
        </w:tc>
        <w:tc>
          <w:tcPr>
            <w:tcW w:w="2880" w:type="dxa"/>
          </w:tcPr>
          <w:p w:rsidR="00897729" w:rsidRDefault="00DA6196">
            <w:r>
              <w:t xml:space="preserve">Наличие статуса стажировочной площадки (муниципального, </w:t>
            </w:r>
            <w:r>
              <w:t>регионального, федерального уровня)</w:t>
            </w:r>
          </w:p>
        </w:tc>
        <w:tc>
          <w:tcPr>
            <w:tcW w:w="2880" w:type="dxa"/>
            <w:shd w:val="clear" w:color="auto" w:fill="FFB6C1"/>
          </w:tcPr>
          <w:p w:rsidR="00897729" w:rsidRDefault="00DA6196">
            <w:r>
              <w:t>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6.4.1</w:t>
            </w:r>
          </w:p>
        </w:tc>
        <w:tc>
          <w:tcPr>
            <w:tcW w:w="2880" w:type="dxa"/>
          </w:tcPr>
          <w:p w:rsidR="00897729" w:rsidRDefault="00DA6196">
            <w:r>
              <w:t>Используются единые подходы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6.4.2</w:t>
            </w:r>
          </w:p>
        </w:tc>
        <w:tc>
          <w:tcPr>
            <w:tcW w:w="2880" w:type="dxa"/>
          </w:tcPr>
          <w:p w:rsidR="00897729" w:rsidRDefault="00DA6196">
            <w:r>
              <w:t>Предусмотрены меры материального и нематериального стимулирования (разра</w:t>
            </w:r>
            <w:r>
              <w:t>ботан локальный акт о 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6.5.1</w:t>
            </w:r>
          </w:p>
        </w:tc>
        <w:tc>
          <w:tcPr>
            <w:tcW w:w="2880" w:type="dxa"/>
          </w:tcPr>
          <w:p w:rsidR="00897729" w:rsidRDefault="00DA6196">
            <w:r>
              <w:t>Организована ежегодная процедура диагностики профессиональных компетенций педагогических и управленческих кадров в модуле ДПО</w:t>
            </w:r>
            <w:r>
              <w:t xml:space="preserve"> ГИС «Образование Челябинской области»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6.5.2</w:t>
            </w:r>
          </w:p>
        </w:tc>
        <w:tc>
          <w:tcPr>
            <w:tcW w:w="2880" w:type="dxa"/>
          </w:tcPr>
          <w:p w:rsidR="00897729" w:rsidRDefault="00DA6196">
            <w:r>
              <w:t xml:space="preserve">По результатам диагностики профессиональных компетенций в модуле ДПО ГИС «Образование» </w:t>
            </w:r>
            <w:r>
              <w:lastRenderedPageBreak/>
              <w:t>Челябинской области сформированы ИОМ для педагогических и управленческих кадров</w:t>
            </w:r>
          </w:p>
        </w:tc>
        <w:tc>
          <w:tcPr>
            <w:tcW w:w="2880" w:type="dxa"/>
            <w:shd w:val="clear" w:color="auto" w:fill="FEE382"/>
          </w:tcPr>
          <w:p w:rsidR="00897729" w:rsidRDefault="00DA6196">
            <w:r>
              <w:lastRenderedPageBreak/>
              <w:t>50,0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lastRenderedPageBreak/>
              <w:t>6.5.3</w:t>
            </w:r>
          </w:p>
        </w:tc>
        <w:tc>
          <w:tcPr>
            <w:tcW w:w="2880" w:type="dxa"/>
          </w:tcPr>
          <w:p w:rsidR="00897729" w:rsidRDefault="00DA6196">
            <w:r>
              <w:t xml:space="preserve">Сформированный ИОМ в </w:t>
            </w:r>
            <w:r>
              <w:t>модуле ДПО ГИС «Образование» Челябинской области реализуется сотрудниками</w:t>
            </w:r>
          </w:p>
        </w:tc>
        <w:tc>
          <w:tcPr>
            <w:tcW w:w="2880" w:type="dxa"/>
            <w:shd w:val="clear" w:color="auto" w:fill="FEE382"/>
          </w:tcPr>
          <w:p w:rsidR="00897729" w:rsidRDefault="00DA6196">
            <w:r>
              <w:t>50,0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6.5.4</w:t>
            </w:r>
          </w:p>
        </w:tc>
        <w:tc>
          <w:tcPr>
            <w:tcW w:w="2880" w:type="dxa"/>
          </w:tcPr>
          <w:p w:rsidR="00897729" w:rsidRDefault="00DA6196">
            <w:r>
              <w:t>План методической работы сформирован на основе данных диагностики профессиональных компетенций педагогов модуля ДПО ГИС «Образование» Челябинской области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6.5.5</w:t>
            </w:r>
          </w:p>
        </w:tc>
        <w:tc>
          <w:tcPr>
            <w:tcW w:w="2880" w:type="dxa"/>
          </w:tcPr>
          <w:p w:rsidR="00897729" w:rsidRDefault="00DA6196">
            <w:r>
              <w:t>Осуществляется адресная методическая поддержка педагогов с низким уровнем по результатам оценки профессиональных компетенций закрепленным региональным методистом</w:t>
            </w:r>
          </w:p>
        </w:tc>
        <w:tc>
          <w:tcPr>
            <w:tcW w:w="2880" w:type="dxa"/>
            <w:shd w:val="clear" w:color="auto" w:fill="FFB6C1"/>
          </w:tcPr>
          <w:p w:rsidR="00897729" w:rsidRDefault="00DA6196">
            <w:r>
              <w:t>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6.6.1</w:t>
            </w:r>
          </w:p>
        </w:tc>
        <w:tc>
          <w:tcPr>
            <w:tcW w:w="2880" w:type="dxa"/>
          </w:tcPr>
          <w:p w:rsidR="00897729" w:rsidRDefault="00DA6196">
            <w:r>
              <w:t>Доля педагогических работников, прошедших обучение по программам повышения квалифик</w:t>
            </w:r>
            <w:r>
              <w:t>ации по инструментам ЦОС(за три последних года)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6.6.2</w:t>
            </w:r>
          </w:p>
        </w:tc>
        <w:tc>
          <w:tcPr>
            <w:tcW w:w="2880" w:type="dxa"/>
          </w:tcPr>
          <w:p w:rsidR="00897729" w:rsidRDefault="00DA6196">
            <w:r>
              <w:t>Доля педагогических работников и управленческих кадров, повысивших квалификацию по вопросам оказания первой помощи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6.6.3</w:t>
            </w:r>
          </w:p>
        </w:tc>
        <w:tc>
          <w:tcPr>
            <w:tcW w:w="2880" w:type="dxa"/>
          </w:tcPr>
          <w:p w:rsidR="00897729" w:rsidRDefault="00DA6196">
            <w:r>
              <w:t>Участие педагогов в конкурсном движении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6.6.4</w:t>
            </w:r>
          </w:p>
        </w:tc>
        <w:tc>
          <w:tcPr>
            <w:tcW w:w="2880" w:type="dxa"/>
          </w:tcPr>
          <w:p w:rsidR="00897729" w:rsidRDefault="00DA6196">
            <w:r>
              <w:t xml:space="preserve">Наличие среди </w:t>
            </w:r>
            <w:r>
              <w:t>педагогов победителей и призеров конкурсов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6.6.5</w:t>
            </w:r>
          </w:p>
        </w:tc>
        <w:tc>
          <w:tcPr>
            <w:tcW w:w="2880" w:type="dxa"/>
          </w:tcPr>
          <w:p w:rsidR="00897729" w:rsidRDefault="00DA6196">
            <w:r>
              <w:t>Участие руководящих работников ДОО в оценке профессиональных компетенций на уровне региона</w:t>
            </w:r>
          </w:p>
        </w:tc>
        <w:tc>
          <w:tcPr>
            <w:tcW w:w="2880" w:type="dxa"/>
            <w:shd w:val="clear" w:color="auto" w:fill="FFB6C1"/>
          </w:tcPr>
          <w:p w:rsidR="00897729" w:rsidRDefault="00DA6196">
            <w:r>
              <w:t>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6.6.6</w:t>
            </w:r>
          </w:p>
        </w:tc>
        <w:tc>
          <w:tcPr>
            <w:tcW w:w="2880" w:type="dxa"/>
          </w:tcPr>
          <w:p w:rsidR="00897729" w:rsidRDefault="00DA6196">
            <w:r>
              <w:t xml:space="preserve">Наличие педагогических работников и управленческих кадров, прошедших курсы </w:t>
            </w:r>
            <w:r>
              <w:lastRenderedPageBreak/>
              <w:t xml:space="preserve">повышения квалификации </w:t>
            </w:r>
            <w:r>
              <w:t>по программе просвещения родителей</w:t>
            </w:r>
          </w:p>
        </w:tc>
        <w:tc>
          <w:tcPr>
            <w:tcW w:w="2880" w:type="dxa"/>
            <w:shd w:val="clear" w:color="auto" w:fill="FEE382"/>
          </w:tcPr>
          <w:p w:rsidR="00897729" w:rsidRDefault="00DA6196">
            <w:r>
              <w:lastRenderedPageBreak/>
              <w:t>50,0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lastRenderedPageBreak/>
              <w:t>7.1.1</w:t>
            </w:r>
          </w:p>
        </w:tc>
        <w:tc>
          <w:tcPr>
            <w:tcW w:w="2880" w:type="dxa"/>
          </w:tcPr>
          <w:p w:rsidR="00897729" w:rsidRDefault="00DA6196">
            <w:r>
              <w:t xml:space="preserve">Обеспечение информационной открытости, доступности информации об организации образования обучающихся, в том числе с ОВЗ, с инвалидностью (за исключением персональной информации, в том числе о состоянии </w:t>
            </w:r>
            <w:r>
              <w:t>здоровья обучающихся (на сайте организации)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7.1.2</w:t>
            </w:r>
          </w:p>
        </w:tc>
        <w:tc>
          <w:tcPr>
            <w:tcW w:w="2880" w:type="dxa"/>
          </w:tcPr>
          <w:p w:rsidR="00897729" w:rsidRDefault="00DA6196">
            <w:r>
              <w:t>Разработанность локальных нормативных актов в части организации партнерства и сетевого взаимодействия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7.1.3</w:t>
            </w:r>
          </w:p>
        </w:tc>
        <w:tc>
          <w:tcPr>
            <w:tcW w:w="2880" w:type="dxa"/>
          </w:tcPr>
          <w:p w:rsidR="00897729" w:rsidRDefault="00DA6196">
            <w:r>
              <w:t xml:space="preserve">Организовано сетевое взаимодействие при реализации образовательной программы </w:t>
            </w:r>
            <w:r>
              <w:t>дошкольной организации, дополнительных услуг (на основе договоров, соглашений)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7.2.1</w:t>
            </w:r>
          </w:p>
        </w:tc>
        <w:tc>
          <w:tcPr>
            <w:tcW w:w="2880" w:type="dxa"/>
          </w:tcPr>
          <w:p w:rsidR="00897729" w:rsidRDefault="00DA6196">
            <w:r>
              <w:t>Наличие системы сбора и анализа обратной связи от родителей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7.2.2</w:t>
            </w:r>
          </w:p>
        </w:tc>
        <w:tc>
          <w:tcPr>
            <w:tcW w:w="2880" w:type="dxa"/>
          </w:tcPr>
          <w:p w:rsidR="00897729" w:rsidRDefault="00DA6196">
            <w:r>
              <w:t>Реализация программы (плана) мероприятий по просвещению родителей (законных представителей)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8.1.1</w:t>
            </w:r>
          </w:p>
        </w:tc>
        <w:tc>
          <w:tcPr>
            <w:tcW w:w="2880" w:type="dxa"/>
          </w:tcPr>
          <w:p w:rsidR="00897729" w:rsidRDefault="00DA6196">
            <w:r>
              <w:t>Предоставление безопасного доступа к информационно-коммуникационной сети Интернет (критический показатель)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8.1.2</w:t>
            </w:r>
          </w:p>
        </w:tc>
        <w:tc>
          <w:tcPr>
            <w:tcW w:w="2880" w:type="dxa"/>
          </w:tcPr>
          <w:p w:rsidR="00897729" w:rsidRDefault="00DA6196">
            <w:r>
              <w:t>Использование информационно-коммуникационной образовательной платформы «Сферум», сервиса «Max»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t>100,0</w:t>
            </w:r>
          </w:p>
        </w:tc>
      </w:tr>
      <w:tr w:rsidR="00897729">
        <w:tc>
          <w:tcPr>
            <w:tcW w:w="2880" w:type="dxa"/>
          </w:tcPr>
          <w:p w:rsidR="00897729" w:rsidRDefault="00DA6196">
            <w:r>
              <w:t>8.1.3</w:t>
            </w:r>
          </w:p>
        </w:tc>
        <w:tc>
          <w:tcPr>
            <w:tcW w:w="2880" w:type="dxa"/>
          </w:tcPr>
          <w:p w:rsidR="00897729" w:rsidRDefault="00DA6196">
            <w:r>
              <w:t>Обновление мат</w:t>
            </w:r>
            <w:r>
              <w:t xml:space="preserve">ериально-технической базы ЦОС в соответствии с </w:t>
            </w:r>
            <w:r>
              <w:lastRenderedPageBreak/>
              <w:t>методическими рекомендациями по приобретению оборудования, расходных материалов, средств обучения и воспитания для обновления материально-технической базы общеобразовательных организаций в целях внедрения цифр</w:t>
            </w:r>
            <w:r>
              <w:t>овой образовательной среды в рамках региональных проектов</w:t>
            </w:r>
          </w:p>
        </w:tc>
        <w:tc>
          <w:tcPr>
            <w:tcW w:w="2880" w:type="dxa"/>
            <w:shd w:val="clear" w:color="auto" w:fill="90EE90"/>
          </w:tcPr>
          <w:p w:rsidR="00897729" w:rsidRDefault="00DA6196">
            <w:r>
              <w:lastRenderedPageBreak/>
              <w:t>100,0</w:t>
            </w:r>
          </w:p>
        </w:tc>
      </w:tr>
    </w:tbl>
    <w:p w:rsidR="00897729" w:rsidRDefault="00897729"/>
    <w:p w:rsidR="00897729" w:rsidRDefault="00DA6196">
      <w:pPr>
        <w:pStyle w:val="21"/>
      </w:pPr>
      <w:r>
        <w:t>Что делать дальше с этой информацией?</w:t>
      </w:r>
    </w:p>
    <w:p w:rsidR="00897729" w:rsidRDefault="00DA6196">
      <w:r>
        <w:t xml:space="preserve">Данный автоматизированный аналитический материал (ААМ) является краткой статистико-аналитической справкой. Вы можете в нее добавить свои аналитические </w:t>
      </w:r>
      <w:r>
        <w:t>заключения, управленческие решения и адресные рекомендации. Кроме того, вы также можете ознакомиться с графиками по результатам самодиагностики посредством дашборда «Детские сады маршруты развития», расположенном в СИЦ Образование в Челябинской области (st</w:t>
      </w:r>
      <w:r>
        <w:t>ats.chiro74.ru). Если вы обнаружили ошибку, позвоните в техподдержку СИЦ.</w:t>
      </w:r>
    </w:p>
    <w:sectPr w:rsidR="0089772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897729"/>
    <w:rsid w:val="00AA1D8D"/>
    <w:rsid w:val="00B47730"/>
    <w:rsid w:val="00CB0664"/>
    <w:rsid w:val="00DA6196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2166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Пользователь Windows</cp:lastModifiedBy>
  <cp:revision>2</cp:revision>
  <dcterms:created xsi:type="dcterms:W3CDTF">2026-02-17T08:06:00Z</dcterms:created>
  <dcterms:modified xsi:type="dcterms:W3CDTF">2026-02-17T08:06:00Z</dcterms:modified>
</cp:coreProperties>
</file>